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Calibri"/>
          <w:b/>
          <w:color w:val="0B2545"/>
          <w:sz w:val="44"/>
        </w:rPr>
        <w:t>Source-Readable Software Approval Workbook</w:t>
      </w:r>
    </w:p>
    <w:p>
      <w:pPr>
        <w:spacing w:after="280"/>
      </w:pPr>
      <w:r>
        <w:rPr>
          <w:rFonts w:ascii="Calibri" w:hAnsi="Calibri" w:eastAsia="Calibri"/>
          <w:color w:val="1F4D78"/>
          <w:sz w:val="28"/>
        </w:rPr>
        <w:t>Artifact provenance, source behavior, dependencies, data flows, authentication, licensing, testing, and operational ownership</w:t>
      </w:r>
    </w:p>
    <w:p>
      <w:pPr>
        <w:pStyle w:val="Heading1"/>
      </w:pPr>
      <w:r>
        <w:t>Review process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424"/>
      </w:tblGrid>
      <w:tr>
        <w:trPr>
          <w:cantSplit/>
          <w:tblHeader w:val="true"/>
        </w:trPr>
        <w:tc>
          <w:tcPr>
            <w:tcW w:type="dxa" w:w="9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Step</w:t>
            </w:r>
          </w:p>
        </w:tc>
        <w:tc>
          <w:tcPr>
            <w:tcW w:type="dxa" w:w="842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Review stage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1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Scope the decision and risk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2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Collect and validate evidence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3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Assess explicit criteria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4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Resolve gaps, conditions, and ownership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5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Decide, document, and reassess</w:t>
            </w:r>
          </w:p>
        </w:tc>
      </w:tr>
    </w:tbl>
    <w:p>
      <w:pPr>
        <w:pStyle w:val="Heading2"/>
      </w:pPr>
      <w:r>
        <w:t>Review record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880"/>
        <w:gridCol w:w="1800"/>
        <w:gridCol w:w="2880"/>
      </w:tblGrid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Software or package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 ID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ID or ticket]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owner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accountable owner]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 opened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due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1</w:t>
      </w:r>
    </w:p>
    <w:p>
      <w:pPr>
        <w:pStyle w:val="Heading1"/>
      </w:pPr>
      <w:r>
        <w:t>Scope the decision and risk</w:t>
      </w:r>
    </w:p>
    <w:p>
      <w:r>
        <w:t>Record the intended use, deployment boundaries, data, access, owner, decision deadline, and initial risk tier before assessing evidence.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72"/>
        <w:gridCol w:w="5688"/>
      </w:tblGrid>
      <w:tr>
        <w:trPr>
          <w:cantSplit/>
          <w:tblHeader w:val="true"/>
        </w:trPr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Scope prompt</w:t>
            </w:r>
          </w:p>
        </w:tc>
        <w:tc>
          <w:tcPr>
            <w:tcW w:type="dxa" w:w="56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Your context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Name, version, repository, commit, release, and artifact checksum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Business purpose, owner, users, privileges, hosts, and environments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Data accessed, created, transmitted, stored, logged, or deleted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Network access, integrations, credentials, secrets, and trust boundaries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Installation, execution, update, rollback, and removal method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Required availability, support, maintenance, and recovery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License, redistribution, modification, and notice obligations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deadline, pilot scope, and alternate process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</w:tbl>
    <w:p>
      <w:pPr>
        <w:pStyle w:val="Heading2"/>
      </w:pPr>
      <w:r>
        <w:t>Initial risk tier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8"/>
              </w:rPr>
              <w:t>□ Low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1F4D78"/>
                <w:sz w:val="18"/>
              </w:rPr>
              <w:t>□ Moderate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7A5A00"/>
                <w:sz w:val="18"/>
              </w:rPr>
              <w:t>□ High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9B1C1C"/>
                <w:sz w:val="18"/>
              </w:rPr>
              <w:t>□ Critical</w:t>
            </w:r>
          </w:p>
        </w:tc>
      </w:tr>
      <w:tr>
        <w:trPr>
          <w:cantSplit/>
        </w:trPr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Limited data and impact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Meaningful business or data exposure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Sensitive data, privilege, or critical process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Severe impact, concentration, or regulatory exposure</w:t>
            </w:r>
          </w:p>
        </w:tc>
      </w:tr>
    </w:tbl>
    <w:p>
      <w:r>
        <w:rPr>
          <w:rFonts w:ascii="Calibri" w:hAnsi="Calibri" w:eastAsia="Calibri"/>
          <w:b/>
          <w:color w:val="0B2545"/>
        </w:rPr>
        <w:t xml:space="preserve">Risk-tier rationale: </w:t>
      </w:r>
      <w:r>
        <w:rPr>
          <w:rFonts w:ascii="Calibri" w:hAnsi="Calibri" w:eastAsia="Calibri"/>
          <w:color w:val="44546A"/>
        </w:rPr>
        <w:t>[Explain impact, likelihood, exposure, and any required escalation.]</w:t>
      </w:r>
    </w:p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2</w:t>
      </w:r>
    </w:p>
    <w:p>
      <w:pPr>
        <w:pStyle w:val="Heading1"/>
      </w:pPr>
      <w:r>
        <w:t>Collect and validate evidence</w:t>
      </w:r>
    </w:p>
    <w:p>
      <w:r>
        <w:t>List each item reviewed and validate its owner, scope, period or version, integrity, and relevance. Record missing, stale, incomplete, or unverified evidence.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F2F4F7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Evidence to collect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Exact source commit, release tag, artifact, checksum, and acquisition record; Build instructions, signatures, provenance attestations, and SBOM; Architecture, data flow, threat model, and privilege description; Dependency locks, advisories, malware checks, and maintenance history; Authentication, cryptography, logging, error, and configuration evidence; Test coverage, CI results, secure development, and release controls; License files, notices, contributor terms, and usage restrictions; Deployment, monitoring, rollback, update, and ownership plan.</w:t>
            </w:r>
          </w:p>
        </w:tc>
      </w:tr>
    </w:tbl>
    <w:p>
      <w:pPr>
        <w:spacing w:after="0"/>
      </w:pPr>
    </w:p>
    <w:p>
      <w:pPr>
        <w:pStyle w:val="Heading2"/>
      </w:pPr>
      <w:r>
        <w:t>Evidence inventory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1944"/>
        <w:gridCol w:w="1800"/>
        <w:gridCol w:w="1728"/>
        <w:gridCol w:w="1944"/>
      </w:tblGrid>
      <w:tr>
        <w:trPr>
          <w:cantSplit/>
          <w:tblHeader w:val="true"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item / Evidence owner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scope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period or version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location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Validated by / date</w:t>
            </w:r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Evidence gaps and limitations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Missing, stale, incomplete, or unverified evidence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Impact on confidence or review coverage</w:t>
            </w:r>
          </w:p>
        </w:tc>
      </w:tr>
      <w:tr>
        <w:trPr>
          <w:cantSplit/>
          <w:trHeight w:val="792" w:hRule="atLeast"/>
        </w:trPr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1 OF 5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Exact artifact and source provenance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Record repository, commit, tag, release, artifact checksum, signer, and acquisition path.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Version-control and artifact records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Determine whether the deployed artifact can be tied to the reviewed source.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Reproducible build, provenance attestation, signature, or documented comparison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generated, vendored, binary, minified, or unavailable components outside the readable source.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Repository and package inventory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Lifecycle, privilege, and trust boundaries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Map installation, startup, execution, update, rollback, removal, and persistence behavior.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Installers, service definitions, scheduled actions, and runbook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users, service accounts, privileges, filesystem access, processes, and isolation boundaries.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Architecture, code entry points, deployment configuration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Verify privileges and durable access are no broader than the business function requires.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Least-privilege design and test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2 OF 5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Dependencies and build chain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Inventory direct, transitive, build, runtime, optional, and bundled dependencies.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Lockfiles, manifests, SBOM, and package contents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dependency risk, integrity controls, advisories, maintenance, and provenance.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Registry metadata, signatures, checksums, advisories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Assess build scripts, plugins, release automation, and credential exposure.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CI configuration, build logs, permissions, release controls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Network and data behavior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Inventory inbound and outbound connections, destinations, protocols, ports, telemetry, and update checks.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Source, configuration, and controlled runtime observation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Trace sensitive and untrusted data through input handling, query, command, template, path, parser, deserialization, and interpreter sinks, then through storage, logs, exports, backups, and deletion.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Data-flow record, source paths, parameterization or encoding, allowlists, and negative security tests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external data sharing is necessary, disclosed, secured, and governable.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Destination ownership, purpose, encryption, retention, controls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3 OF 5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Authentication and authorization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credential handling, session or token lifecycle, identity validation, and account recovery.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Code paths, configuration, and tests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Verify authorization at every protected action and object boundary.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Policy checks, tests, and failure behavior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hard-coded credentials, weak defaults, bypasses, or unsafe local trust assumptions.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Secret scanning and focused code review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Cryptography and secrets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cryptographic purposes, algorithms, modes, libraries, randomness, and protocol validation.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Code, dependency versions, and configuration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key and secret generation, storage, access, rotation, revocation, and logging exposure.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Secret-management design and operating plan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Avoid treating custom cryptography or encoding as a security control without expert review.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Design rationale and independent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4 OF 5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Errors, logging, and configuration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Assess failure modes, exception handling, cleanup, unsafe fallback, and partial-state behavior.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Focused code paths and negative tests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Check logs for useful security events without credentials, tokens, or sensitive payloads.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Logging code, sample output, retention and access controls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configuration sources, defaults, precedence, validation, and production hardening.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Configuration schema, deployment values, and startup checks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Vulnerability and malware indicators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Review known advisories, unsupported components, dangerous functions, and exploitable code patterns.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Advisory results, static review, and targeted testing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Investigate obfuscation, unexpected binaries, credential access, persistence, evasion, or suspicious destinations.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Malware indicators, package history, and runtime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Record analysis limitations, skipped components, and evidence that could not be obtained.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Coverage record and residual uncertainty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5 OF 5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License compatibility, code quality, testing, and ownership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Verify license compatibility for use, modification, distribution, hosting, and notices.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License files, dependency licenses, and legal review when needed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Assess whether module boundaries, complexity, duplication, dead code, documentation, and review practices support safe maintenance.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Focused quality review, linters, change history, and maintainer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Evaluate test coverage for security-critical behavior and confirm failures block unsafe release.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Test inventory, results, coverage, and CI policy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Assign maintainers for updates, advisories, configuration, monitoring, rollback, and reassessment.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Operational ownership and review schedule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4</w:t>
      </w:r>
    </w:p>
    <w:p>
      <w:pPr>
        <w:pStyle w:val="Heading1"/>
      </w:pPr>
      <w:r>
        <w:t>Resolve gaps, conditions, and ownership</w:t>
      </w:r>
    </w:p>
    <w:p>
      <w:r>
        <w:t>Record each material gap or condition, its priority, owner, due date, and follow-up result.</w:t>
      </w:r>
    </w:p>
    <w:p>
      <w:pPr>
        <w:pStyle w:val="Heading2"/>
      </w:pPr>
      <w:r>
        <w:t>Findings and follow-up register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3456"/>
        <w:gridCol w:w="1224"/>
        <w:gridCol w:w="2232"/>
        <w:gridCol w:w="1800"/>
      </w:tblGrid>
      <w:tr>
        <w:trPr>
          <w:cantSplit/>
          <w:tblHeader w:val="true"/>
        </w:trPr>
        <w:tc>
          <w:tcPr>
            <w:tcW w:type="dxa" w:w="6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ID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Finding, gap, or condition</w:t>
            </w:r>
          </w:p>
        </w:tc>
        <w:tc>
          <w:tcPr>
            <w:tcW w:type="dxa" w:w="122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2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Follow-up owner and due date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Follow-up result</w:t>
            </w:r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F-01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F-02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F-03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F-04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F-05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F-06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Condition quality check</w:t>
      </w:r>
    </w:p>
    <w:p>
      <w:pPr>
        <w:spacing w:after="40"/>
      </w:pPr>
      <w:r>
        <w:t>□ The required outcome is specific and testable.</w:t>
      </w:r>
    </w:p>
    <w:p>
      <w:pPr>
        <w:spacing w:after="40"/>
      </w:pPr>
      <w:r>
        <w:t>□ The owner has authority and a realistic due date.</w:t>
      </w:r>
    </w:p>
    <w:p>
      <w:pPr>
        <w:spacing w:after="40"/>
      </w:pPr>
      <w:r>
        <w:t>□ An interim control is documented where exposure begins before closure.</w:t>
      </w:r>
    </w:p>
    <w:p>
      <w:pPr>
        <w:spacing w:after="40"/>
      </w:pPr>
      <w:r>
        <w:t>□ Failure or expiration leads to a defined escalation, suspension, or reassessment.</w:t>
      </w:r>
    </w:p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5</w:t>
      </w:r>
    </w:p>
    <w:p>
      <w:pPr>
        <w:pStyle w:val="Heading1"/>
      </w:pPr>
      <w:r>
        <w:t>Decide and document</w:t>
      </w:r>
    </w:p>
    <w:p>
      <w:r>
        <w:t>Record the decision, accountable owner, rationale, conditions, accepted risks, approval boundaries, and next review date.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Decision options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□ Approve  |  □ Approve with conditions  |  □ Defer pending evidence  |  □ Reject  |  □ Escalate</w:t>
            </w:r>
          </w:p>
        </w:tc>
      </w:tr>
    </w:tbl>
    <w:p>
      <w:pPr>
        <w:spacing w:after="0"/>
      </w:pPr>
    </w:p>
    <w:p>
      <w:pPr>
        <w:pStyle w:val="Heading2"/>
      </w:pPr>
      <w:r>
        <w:t>Decision questions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5400"/>
      </w:tblGrid>
      <w:tr>
        <w:trPr>
          <w:cantSplit/>
          <w:tblHeader w:val="true"/>
        </w:trPr>
        <w:tc>
          <w:tcPr>
            <w:tcW w:type="dxa" w:w="3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5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Conclusion and rationale</w:t>
            </w:r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Can the exact deployed artifact be tied to the source and build chain we reviewed?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Are privileges, data access, network behavior, credentials, and failure modes acceptable?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Are dependencies, advisories, malware indicators, and analysis limitations understood?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Does the license permit the intended use and required distribution or modification?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Who owns updates, monitoring, rollback, exceptions, and reassessment after approval?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Decision record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880"/>
        <w:gridCol w:w="1800"/>
        <w:gridCol w:w="2880"/>
      </w:tblGrid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[Select]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date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owner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 and role]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Next review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[Date or event]</w:t>
            </w:r>
          </w:p>
        </w:tc>
      </w:tr>
    </w:tbl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Decision rationale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Conditions, accepted risks, and approval boundaries</w:t>
            </w:r>
          </w:p>
        </w:tc>
      </w:tr>
      <w:tr>
        <w:trPr>
          <w:cantSplit/>
          <w:trHeight w:val="605" w:hRule="atLeast"/>
        </w:trPr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5 CONTINUED</w:t>
      </w:r>
    </w:p>
    <w:p>
      <w:pPr>
        <w:pStyle w:val="Heading1"/>
      </w:pPr>
      <w:r>
        <w:t>Plan reassessment</w:t>
      </w:r>
    </w:p>
    <w:p>
      <w:r>
        <w:t>Set review dates and event triggers. Assign a monitoring owner and define the action required for each trigger.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72"/>
        <w:gridCol w:w="2808"/>
        <w:gridCol w:w="2880"/>
      </w:tblGrid>
      <w:tr>
        <w:trPr>
          <w:cantSplit/>
          <w:tblHeader w:val="true"/>
        </w:trPr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Reassessment trigger</w:t>
            </w:r>
          </w:p>
        </w:tc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Monitoring source and owner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Action when triggered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New release, dependency change, source transfer, maintainer change, or build-chain change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New advisory, malware signal, incident, or material security finding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New privilege, integration, external destination, sensitive data type, or environment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License, support, maintenance, or distribution-model change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Risk-acceptance expiration or scheduled review date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</w:tbl>
    <w:p>
      <w:pPr>
        <w:pStyle w:val="Heading2"/>
      </w:pPr>
      <w:r>
        <w:t>References</w:t>
      </w:r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1">
        <w:r>
          <w:rPr>
            <w:color w:val="2E74B5"/>
            <w:u w:val="single"/>
          </w:rPr>
          <w:t>NIST SP 800-218, Secure Software Development Framework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2">
        <w:r>
          <w:rPr>
            <w:color w:val="2E74B5"/>
            <w:u w:val="single"/>
          </w:rPr>
          <w:t>OWASP Software Assurance Maturity Model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3">
        <w:r>
          <w:rPr>
            <w:color w:val="2E74B5"/>
            <w:u w:val="single"/>
          </w:rPr>
          <w:t>OpenSSF Scorecard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4">
        <w:r>
          <w:rPr>
            <w:color w:val="2E74B5"/>
            <w:u w:val="single"/>
          </w:rPr>
          <w:t>SPDX License List</w:t>
        </w:r>
      </w:hyperlink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F2F4F7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44546A"/>
                <w:sz w:val="22"/>
              </w:rPr>
              <w:t>Limitations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Adapt the criteria, escalation paths, retention period, and approval authority to applicable requirements. This material is not legal advice or an audit opinion.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center"/>
      <w:tblLayout w:type="fixed"/>
      <w:tblLook w:firstColumn="1" w:firstRow="1" w:lastColumn="0" w:lastRow="0" w:noHBand="0" w:noVBand="1" w:val="04A0"/>
    </w:tblPr>
    <w:tblGrid>
      <w:gridCol w:w="6480"/>
      <w:gridCol w:w="2880"/>
    </w:tblGrid>
    <w:tr>
      <w:trPr>
        <w:cantSplit/>
      </w:trPr>
      <w:tc>
        <w:tcPr>
          <w:tcW w:type="dxa" w:w="6480"/>
          <w:vAlign w:val="top"/>
          <w:tcMar>
            <w:top w:w="0" w:type="dxa"/>
            <w:start w:w="0" w:type="dxa"/>
            <w:bottom w:w="30" w:type="dxa"/>
            <w:end w:w="0" w:type="dxa"/>
          </w:tcMar>
          <w:tcBorders>
            <w:bottom w:val="single" w:sz="6" w:color="E8EEF5"/>
          </w:tcBorders>
        </w:tcPr>
        <w:p>
          <w:pPr>
            <w:spacing w:after="0"/>
          </w:pPr>
          <w:r>
            <w:rPr>
              <w:rFonts w:ascii="Calibri" w:hAnsi="Calibri" w:eastAsia="Calibri"/>
              <w:b/>
              <w:color w:val="0B2545"/>
              <w:sz w:val="17"/>
            </w:rPr>
            <w:t>Source-Readable Software Approval Workbook</w:t>
          </w:r>
        </w:p>
      </w:tc>
      <w:tc>
        <w:tcPr>
          <w:tcW w:type="dxa" w:w="2880"/>
          <w:vAlign w:val="top"/>
          <w:tcMar>
            <w:top w:w="0" w:type="dxa"/>
            <w:start w:w="0" w:type="dxa"/>
            <w:bottom w:w="30" w:type="dxa"/>
            <w:end w:w="0" w:type="dxa"/>
          </w:tcMar>
          <w:tcBorders>
            <w:bottom w:val="single" w:sz="6" w:color="E8EEF5"/>
          </w:tcBorders>
        </w:tcPr>
        <w:p>
          <w:pPr>
            <w:spacing w:after="0"/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Calibri"/>
      <w:color w:val="1F2937"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0B254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540" w:hanging="271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540" w:hanging="271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src.nist.gov/pubs/sp/800/218/final" TargetMode="External"/><Relationship Id="rId12" Type="http://schemas.openxmlformats.org/officeDocument/2006/relationships/hyperlink" Target="https://owaspsamm.org/" TargetMode="External"/><Relationship Id="rId13" Type="http://schemas.openxmlformats.org/officeDocument/2006/relationships/hyperlink" Target="https://scorecard.dev/" TargetMode="External"/><Relationship Id="rId14" Type="http://schemas.openxmlformats.org/officeDocument/2006/relationships/hyperlink" Target="https://spdx.org/licens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Source-Readable Software Approval Workbook</dc:title>
  <dc:subject>Security review and decision record</dc:subject>
  <dc:creator>Infosec Chicago</dc:creator>
  <cp:keywords>security review, risk assessment, evidence, findings, decision record</cp:keywords>
  <dc:description>Generated from the public security resource library.</dc:description>
  <cp:lastModifiedBy>Infosec Chicago</cp:lastModifiedBy>
  <cp:revision>1</cp:revision>
  <dcterms:created xsi:type="dcterms:W3CDTF">2026-08-25T12:00:00Z</dcterms:created>
  <dcterms:modified xsi:type="dcterms:W3CDTF">2026-08-25T12:00:00Z</dcterms:modified>
  <cp:category>Security review workbook</cp:category>
</cp:coreProperties>
</file>